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7"/>
        <w:jc w:val="both"/>
      </w:pPr>
      <w:r>
        <w:rPr>
          <w:sz w:val="24"/>
          <w:szCs w:val="24"/>
        </w:rPr>
        <w:tab/>
        <w:tab/>
        <w:tab/>
        <w:tab/>
        <w:tab/>
        <w:tab/>
      </w:r>
      <w:r/>
    </w:p>
    <w:p>
      <w:pPr>
        <w:pStyle w:val="64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47"/>
        <w:jc w:val="center"/>
      </w:pPr>
      <w:r>
        <w:rPr>
          <w:b/>
          <w:bCs/>
          <w:sz w:val="24"/>
          <w:szCs w:val="24"/>
        </w:rPr>
        <w:t xml:space="preserve">АКТ</w:t>
      </w:r>
      <w:r/>
    </w:p>
    <w:p>
      <w:pPr>
        <w:pStyle w:val="647"/>
        <w:jc w:val="center"/>
      </w:pPr>
      <w:r>
        <w:rPr>
          <w:b/>
          <w:sz w:val="24"/>
          <w:szCs w:val="24"/>
        </w:rPr>
        <w:t xml:space="preserve">обследования и категорирования торгового объекта (территории)</w:t>
      </w:r>
      <w:r/>
    </w:p>
    <w:p>
      <w:pPr>
        <w:pStyle w:val="647"/>
        <w:jc w:val="center"/>
      </w:pPr>
      <w:r>
        <w:rPr>
          <w:b/>
          <w:sz w:val="24"/>
          <w:szCs w:val="24"/>
        </w:rPr>
        <w:t xml:space="preserve">Торгового Центра «!»</w:t>
      </w:r>
      <w:r/>
    </w:p>
    <w:p>
      <w:pPr>
        <w:pStyle w:val="64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4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4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47"/>
      </w:pPr>
      <w:r>
        <w:rPr>
          <w:sz w:val="24"/>
          <w:szCs w:val="24"/>
        </w:rPr>
        <w:t xml:space="preserve">г. Ижевск</w:t>
        <w:tab/>
        <w:t xml:space="preserve">                                                                                      «_____»__________2025 г.</w:t>
      </w:r>
      <w:r/>
    </w:p>
    <w:p>
      <w:pPr>
        <w:pStyle w:val="64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647"/>
        <w:ind w:left="0" w:right="0" w:firstLine="709"/>
        <w:jc w:val="both"/>
      </w:pPr>
      <w:r>
        <w:rPr>
          <w:sz w:val="24"/>
          <w:szCs w:val="24"/>
        </w:rPr>
        <w:t xml:space="preserve">В соответствии с требованиями Постановления правительства РФ </w:t>
      </w:r>
      <w:r>
        <w:rPr>
          <w:bCs/>
          <w:color w:val="000000"/>
          <w:sz w:val="24"/>
          <w:szCs w:val="24"/>
          <w:shd w:val="clear" w:color="auto" w:fill="ffffff"/>
        </w:rPr>
        <w:t xml:space="preserve">от 19.10.2017г. №1273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(территории)»</w:t>
      </w:r>
      <w:r>
        <w:rPr>
          <w:sz w:val="24"/>
          <w:szCs w:val="24"/>
        </w:rPr>
        <w:t xml:space="preserve"> и приказом от 30.11.2017г. № 27 ООО «!» «О создании комиссии по обследованию и категорированию ТЦ «!» комиссия в составе:</w:t>
      </w:r>
      <w:r/>
    </w:p>
    <w:p>
      <w:pPr>
        <w:pStyle w:val="647"/>
      </w:pPr>
      <w:r>
        <w:rPr>
          <w:bCs/>
          <w:sz w:val="24"/>
          <w:szCs w:val="24"/>
        </w:rPr>
        <w:t xml:space="preserve">председатель (руководитель) комиссии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u w:val="single"/>
        </w:rPr>
        <w:t xml:space="preserve">администратор ТЦ «!»  </w:t>
      </w:r>
      <w:r/>
    </w:p>
    <w:p>
      <w:pPr>
        <w:pStyle w:val="647"/>
      </w:pPr>
      <w:r>
        <w:rPr>
          <w:bCs/>
          <w:sz w:val="24"/>
          <w:szCs w:val="24"/>
        </w:rPr>
        <w:t xml:space="preserve">члены комиссии:</w:t>
      </w:r>
      <w:r/>
    </w:p>
    <w:p>
      <w:pPr>
        <w:pStyle w:val="647"/>
      </w:pPr>
      <w:r>
        <w:rPr>
          <w:sz w:val="24"/>
          <w:szCs w:val="24"/>
        </w:rPr>
        <w:t xml:space="preserve">от </w:t>
      </w:r>
      <w:r>
        <w:rPr>
          <w:bCs/>
          <w:sz w:val="24"/>
          <w:szCs w:val="24"/>
        </w:rPr>
        <w:t xml:space="preserve">Управления ФСБ России по Удмуртской Республике ____________________________</w:t>
      </w:r>
      <w:r/>
    </w:p>
    <w:p>
      <w:pPr>
        <w:pStyle w:val="647"/>
      </w:pPr>
      <w:r>
        <w:rPr>
          <w:bCs/>
          <w:sz w:val="24"/>
          <w:szCs w:val="24"/>
        </w:rPr>
        <w:t xml:space="preserve">____________________________________________________________________________</w:t>
      </w:r>
      <w:r/>
    </w:p>
    <w:p>
      <w:pPr>
        <w:pStyle w:val="647"/>
      </w:pPr>
      <w:r>
        <w:rPr>
          <w:sz w:val="24"/>
          <w:szCs w:val="24"/>
        </w:rPr>
        <w:t xml:space="preserve">от </w:t>
      </w:r>
      <w:r>
        <w:rPr>
          <w:bCs/>
          <w:sz w:val="24"/>
          <w:szCs w:val="24"/>
        </w:rPr>
        <w:t xml:space="preserve">Главного управления МЧС России по Удмуртской Республике ____________________</w:t>
      </w:r>
      <w:r/>
    </w:p>
    <w:p>
      <w:pPr>
        <w:pStyle w:val="647"/>
      </w:pPr>
      <w:r>
        <w:rPr>
          <w:bCs/>
          <w:sz w:val="24"/>
          <w:szCs w:val="24"/>
        </w:rPr>
        <w:t xml:space="preserve">____________________________________________________________________________</w:t>
      </w:r>
      <w:r/>
    </w:p>
    <w:p>
      <w:pPr>
        <w:pStyle w:val="647"/>
      </w:pPr>
      <w:r>
        <w:rPr>
          <w:bCs/>
          <w:sz w:val="24"/>
          <w:szCs w:val="24"/>
        </w:rPr>
        <w:t xml:space="preserve">от ФГКУ "Управления вневедомственной охраны ВНГ России</w:t>
      </w:r>
      <w:r/>
    </w:p>
    <w:p>
      <w:pPr>
        <w:pStyle w:val="647"/>
      </w:pPr>
      <w:r>
        <w:rPr>
          <w:bCs/>
          <w:sz w:val="24"/>
          <w:szCs w:val="24"/>
        </w:rPr>
        <w:t xml:space="preserve">по Удмуртской Республике ____________________________________________________</w:t>
      </w:r>
      <w:r/>
    </w:p>
    <w:p>
      <w:pPr>
        <w:pStyle w:val="647"/>
      </w:pPr>
      <w:r>
        <w:rPr>
          <w:bCs/>
          <w:sz w:val="24"/>
          <w:szCs w:val="24"/>
        </w:rPr>
        <w:t xml:space="preserve">____________________________________________________________________________</w:t>
      </w:r>
      <w:r/>
    </w:p>
    <w:p>
      <w:pPr>
        <w:pStyle w:val="647"/>
        <w:jc w:val="left"/>
      </w:pPr>
      <w:r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 xml:space="preserve">Министерства промышленности и торговли Удмуртской Республики</w:t>
      </w:r>
      <w:r>
        <w:rPr>
          <w:bCs/>
          <w:sz w:val="24"/>
          <w:szCs w:val="24"/>
        </w:rPr>
        <w:t xml:space="preserve">__________________________________________________________________</w:t>
      </w:r>
      <w:r/>
    </w:p>
    <w:p>
      <w:pPr>
        <w:pStyle w:val="647"/>
      </w:pPr>
      <w:r>
        <w:rPr>
          <w:bCs/>
          <w:sz w:val="24"/>
          <w:szCs w:val="24"/>
        </w:rPr>
        <w:t xml:space="preserve">____________________________________________________________________________</w:t>
      </w:r>
      <w:r/>
    </w:p>
    <w:p>
      <w:pPr>
        <w:pStyle w:val="647"/>
        <w:jc w:val="both"/>
      </w:pPr>
      <w:r>
        <w:rPr>
          <w:bCs/>
          <w:sz w:val="24"/>
          <w:szCs w:val="24"/>
        </w:rPr>
        <w:t xml:space="preserve">от администрации Ленинского района г. Ижевска ________________________________</w:t>
      </w:r>
      <w:r/>
    </w:p>
    <w:p>
      <w:pPr>
        <w:pStyle w:val="647"/>
        <w:jc w:val="both"/>
      </w:pPr>
      <w:r>
        <w:rPr>
          <w:bCs/>
          <w:sz w:val="24"/>
          <w:szCs w:val="24"/>
        </w:rPr>
        <w:t xml:space="preserve">__________________________________________________________________________</w:t>
      </w:r>
      <w:r/>
    </w:p>
    <w:p>
      <w:pPr>
        <w:pStyle w:val="647"/>
        <w:jc w:val="both"/>
      </w:pPr>
      <w:r>
        <w:rPr>
          <w:sz w:val="24"/>
          <w:szCs w:val="24"/>
        </w:rPr>
        <w:t xml:space="preserve">осуществлено обследование и категорирование по  </w:t>
      </w:r>
      <w:r>
        <w:rPr>
          <w:bCs/>
          <w:color w:val="000000"/>
          <w:sz w:val="24"/>
          <w:szCs w:val="24"/>
          <w:shd w:val="clear" w:color="auto" w:fill="ffffff"/>
        </w:rPr>
        <w:t xml:space="preserve">антитеррористической защищенности торгового объекта (территории) </w:t>
      </w:r>
      <w:r>
        <w:rPr>
          <w:sz w:val="24"/>
          <w:szCs w:val="24"/>
        </w:rPr>
        <w:t xml:space="preserve"> Торгового Центра «!».</w:t>
      </w:r>
      <w:r>
        <w:rPr>
          <w:sz w:val="24"/>
          <w:szCs w:val="24"/>
          <w:u w:val="single"/>
        </w:rPr>
        <w:t xml:space="preserve">  </w:t>
      </w:r>
      <w:r/>
    </w:p>
    <w:p>
      <w:pPr>
        <w:pStyle w:val="647"/>
        <w:ind w:left="0" w:right="0" w:firstLine="709"/>
      </w:pPr>
      <w:r>
        <w:rPr>
          <w:sz w:val="24"/>
          <w:szCs w:val="24"/>
        </w:rPr>
        <w:t xml:space="preserve">В ходе проверки установлено следующее:</w:t>
      </w:r>
      <w:r/>
    </w:p>
    <w:p>
      <w:pPr>
        <w:pStyle w:val="647"/>
        <w:ind w:left="0" w:right="0" w:firstLine="709"/>
        <w:jc w:val="center"/>
        <w:spacing w:before="120" w:after="120"/>
      </w:pPr>
      <w:r>
        <w:rPr>
          <w:b/>
          <w:bCs/>
          <w:sz w:val="24"/>
          <w:szCs w:val="24"/>
        </w:rPr>
        <w:t xml:space="preserve">1. Общие сведения об объекте:</w:t>
      </w:r>
      <w:r/>
    </w:p>
    <w:p>
      <w:pPr>
        <w:pStyle w:val="647"/>
        <w:ind w:left="0" w:right="0" w:firstLine="709"/>
        <w:jc w:val="both"/>
      </w:pPr>
      <w:r>
        <w:rPr>
          <w:sz w:val="24"/>
          <w:szCs w:val="24"/>
        </w:rPr>
        <w:t xml:space="preserve">Полное наименование объекта: Торговый центр «!».</w:t>
      </w:r>
      <w:r>
        <w:rPr>
          <w:sz w:val="24"/>
          <w:szCs w:val="24"/>
          <w:u w:val="single"/>
        </w:rPr>
        <w:t xml:space="preserve">  </w:t>
      </w:r>
      <w:r>
        <w:rPr>
          <w:i/>
          <w:sz w:val="24"/>
          <w:szCs w:val="24"/>
          <w:u w:val="single"/>
        </w:rPr>
        <w:t xml:space="preserve"> </w:t>
      </w:r>
      <w:r/>
    </w:p>
    <w:p>
      <w:pPr>
        <w:pStyle w:val="647"/>
        <w:ind w:left="0" w:right="0" w:firstLine="709"/>
        <w:jc w:val="both"/>
      </w:pPr>
      <w:r>
        <w:rPr>
          <w:sz w:val="24"/>
          <w:szCs w:val="24"/>
        </w:rPr>
        <w:t xml:space="preserve">Должностные лица объекта:</w:t>
      </w:r>
      <w:r/>
    </w:p>
    <w:p>
      <w:pPr>
        <w:pStyle w:val="647"/>
        <w:ind w:left="0" w:right="0" w:firstLine="709"/>
        <w:jc w:val="both"/>
      </w:pPr>
      <w:r>
        <w:rPr>
          <w:sz w:val="24"/>
          <w:szCs w:val="24"/>
        </w:rPr>
        <w:t xml:space="preserve">- директор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ООО «!»,</w:t>
      </w:r>
      <w:r>
        <w:rPr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 xml:space="preserve"> </w:t>
      </w:r>
      <w:r/>
    </w:p>
    <w:p>
      <w:pPr>
        <w:pStyle w:val="647"/>
        <w:ind w:left="0" w:right="0" w:firstLine="709"/>
        <w:jc w:val="both"/>
      </w:pPr>
      <w:r>
        <w:rPr>
          <w:sz w:val="24"/>
          <w:szCs w:val="24"/>
        </w:rPr>
        <w:t xml:space="preserve">- исполняющий обязанности директора ООО «!» </w:t>
      </w:r>
      <w:r/>
    </w:p>
    <w:p>
      <w:pPr>
        <w:pStyle w:val="647"/>
        <w:ind w:left="0" w:right="0" w:firstLine="709"/>
        <w:jc w:val="both"/>
      </w:pPr>
      <w:r>
        <w:rPr>
          <w:sz w:val="24"/>
          <w:szCs w:val="24"/>
        </w:rPr>
        <w:t xml:space="preserve">- администратор Торгового центра «!» </w:t>
      </w:r>
      <w:r/>
    </w:p>
    <w:p>
      <w:pPr>
        <w:pStyle w:val="647"/>
        <w:ind w:left="0" w:right="0" w:firstLine="709"/>
        <w:jc w:val="both"/>
      </w:pPr>
      <w:r>
        <w:rPr>
          <w:sz w:val="24"/>
          <w:szCs w:val="24"/>
        </w:rPr>
        <w:t xml:space="preserve">Местонахождение объекта: 426000, Удмуртская Республика, г. Ижевск, ул. </w:t>
      </w:r>
      <w:r/>
    </w:p>
    <w:p>
      <w:pPr>
        <w:pStyle w:val="655"/>
        <w:ind w:left="0" w:right="0" w:firstLine="709"/>
        <w:jc w:val="both"/>
      </w:pPr>
      <w:r>
        <w:rPr>
          <w:b w:val="0"/>
          <w:color w:val="000000"/>
        </w:rPr>
        <w:t xml:space="preserve">Площадь ТЦ «</w:t>
      </w:r>
      <w:r>
        <w:rPr>
          <w:b w:val="0"/>
          <w:color w:val="000000"/>
          <w:lang w:val="ru-RU"/>
        </w:rPr>
        <w:t xml:space="preserve">!</w:t>
      </w:r>
      <w:r>
        <w:rPr>
          <w:b w:val="0"/>
          <w:color w:val="000000"/>
        </w:rPr>
        <w:t xml:space="preserve">» -  м</w:t>
      </w:r>
      <w:r>
        <w:rPr>
          <w:b w:val="0"/>
          <w:color w:val="000000"/>
          <w:vertAlign w:val="superscript"/>
        </w:rPr>
        <w:t xml:space="preserve">2</w:t>
      </w:r>
      <w:r>
        <w:rPr>
          <w:b w:val="0"/>
          <w:color w:val="000000"/>
        </w:rPr>
        <w:t xml:space="preserve">, протяженность периметра –  м.</w:t>
      </w:r>
      <w:r/>
    </w:p>
    <w:p>
      <w:pPr>
        <w:pStyle w:val="660"/>
        <w:ind w:left="0" w:right="0"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Среднее количество одновременно находящихся в здании людей – 100 чел. (сотрудников – 50, посетителей – 50).</w:t>
      </w:r>
      <w:r/>
    </w:p>
    <w:p>
      <w:pPr>
        <w:pStyle w:val="660"/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60"/>
        <w:ind w:left="0" w:right="0"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Полностью информация по зданию, из чего  год постройки, окна, двери,замки,количество помещений, и по каждому помещению подробную информацию</w:t>
      </w:r>
      <w:r/>
    </w:p>
    <w:p>
      <w:pPr>
        <w:pStyle w:val="660"/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47"/>
        <w:jc w:val="center"/>
        <w:spacing w:before="120" w:after="0"/>
      </w:pPr>
      <w:r>
        <w:rPr>
          <w:b/>
          <w:bCs/>
          <w:sz w:val="24"/>
          <w:szCs w:val="24"/>
        </w:rPr>
        <w:t xml:space="preserve">2. Организация и состояние работы по обеспечению антитеррористической защищенности объекта, меры по предупреждению чрезвычайных ситуаций</w:t>
      </w:r>
      <w:r/>
    </w:p>
    <w:p>
      <w:pPr>
        <w:pStyle w:val="647"/>
        <w:jc w:val="center"/>
        <w:spacing w:before="120" w:after="0"/>
      </w:pPr>
      <w:r>
        <w:rPr>
          <w:b/>
          <w:bCs/>
          <w:sz w:val="24"/>
          <w:szCs w:val="24"/>
        </w:rPr>
        <w:t xml:space="preserve">2.1.Организация делопроизводства.</w:t>
      </w:r>
      <w:r/>
    </w:p>
    <w:p>
      <w:pPr>
        <w:pStyle w:val="647"/>
        <w:ind w:left="0" w:right="0" w:firstLine="425"/>
        <w:jc w:val="both"/>
        <w:spacing w:before="120" w:after="0"/>
        <w:widowControl w:val="off"/>
      </w:pPr>
      <w:r>
        <w:rPr>
          <w:sz w:val="24"/>
          <w:szCs w:val="24"/>
        </w:rPr>
        <w:t xml:space="preserve">Наличие на объекте документации:</w:t>
      </w:r>
      <w:r/>
    </w:p>
    <w:p>
      <w:pPr>
        <w:pStyle w:val="647"/>
        <w:ind w:left="0" w:right="0" w:firstLine="426"/>
        <w:jc w:val="both"/>
        <w:spacing w:line="228" w:lineRule="auto"/>
        <w:widowControl w:val="off"/>
      </w:pPr>
      <w:r>
        <w:rPr>
          <w:sz w:val="24"/>
          <w:szCs w:val="24"/>
        </w:rPr>
        <w:t xml:space="preserve">- приказ директора о назначении ответственного лица за антитеррористическую защищенность объекта, противопожарную безопасность и утвержденные должностные обязанности – </w:t>
      </w:r>
      <w:r>
        <w:rPr>
          <w:sz w:val="24"/>
          <w:szCs w:val="24"/>
          <w:u w:val="single"/>
        </w:rPr>
        <w:t xml:space="preserve">в наличии</w:t>
      </w:r>
      <w:r>
        <w:rPr>
          <w:sz w:val="24"/>
          <w:szCs w:val="24"/>
        </w:rPr>
        <w:t xml:space="preserve">;</w:t>
      </w:r>
      <w:r/>
    </w:p>
    <w:p>
      <w:pPr>
        <w:pStyle w:val="647"/>
        <w:ind w:left="0" w:right="0" w:firstLine="426"/>
        <w:jc w:val="both"/>
        <w:spacing w:line="228" w:lineRule="auto"/>
        <w:widowControl w:val="off"/>
      </w:pPr>
      <w:r>
        <w:rPr>
          <w:sz w:val="24"/>
          <w:szCs w:val="24"/>
        </w:rPr>
        <w:t xml:space="preserve">- инструкции по действиям должностных лиц и персонала объекта при угрозе (возникновении) террористического акта, чрезвычайной ситуации – </w:t>
      </w:r>
      <w:r>
        <w:rPr>
          <w:sz w:val="24"/>
          <w:szCs w:val="24"/>
          <w:u w:val="single"/>
        </w:rPr>
        <w:t xml:space="preserve">в наличии</w:t>
      </w:r>
      <w:r>
        <w:rPr>
          <w:sz w:val="24"/>
          <w:szCs w:val="24"/>
        </w:rPr>
        <w:t xml:space="preserve">;</w:t>
      </w:r>
      <w:r/>
    </w:p>
    <w:p>
      <w:pPr>
        <w:pStyle w:val="647"/>
        <w:ind w:left="0" w:right="0" w:firstLine="426"/>
        <w:jc w:val="both"/>
        <w:widowControl w:val="off"/>
      </w:pPr>
      <w:r>
        <w:rPr>
          <w:sz w:val="24"/>
          <w:szCs w:val="24"/>
        </w:rPr>
        <w:t xml:space="preserve">- список телефонов оповещения сотрудников, привлекаемых к мероприятиям по предотвращению или устранению последствий внештатных (аварийных) ситуаций – </w:t>
      </w:r>
      <w:r>
        <w:rPr>
          <w:sz w:val="24"/>
          <w:szCs w:val="24"/>
          <w:u w:val="single"/>
        </w:rPr>
        <w:t xml:space="preserve">в наличии;</w:t>
      </w:r>
      <w:r/>
    </w:p>
    <w:p>
      <w:pPr>
        <w:pStyle w:val="647"/>
        <w:ind w:left="0" w:right="0" w:firstLine="426"/>
        <w:jc w:val="both"/>
        <w:widowControl w:val="off"/>
      </w:pPr>
      <w:r>
        <w:rPr>
          <w:sz w:val="24"/>
          <w:szCs w:val="24"/>
        </w:rPr>
        <w:t xml:space="preserve">- паспорт безопасности ТЦ согласованный с представителями территориального органа безопасности, территориального органа Федеральной службы войск национальной гвардии Российской Федерации или подразделения вневедомственной охраны</w:t>
      </w:r>
      <w:r>
        <w:rPr>
          <w:sz w:val="24"/>
          <w:szCs w:val="24"/>
        </w:rPr>
        <w:t xml:space="preserve"> войск национальной гвардии Российской Федерации,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торгового объекта (территории) </w:t>
      </w:r>
      <w:r>
        <w:rPr>
          <w:sz w:val="24"/>
          <w:szCs w:val="24"/>
          <w:u w:val="single"/>
        </w:rPr>
        <w:t xml:space="preserve">– в разработке</w:t>
      </w:r>
      <w:r>
        <w:rPr>
          <w:sz w:val="24"/>
          <w:szCs w:val="24"/>
        </w:rPr>
        <w:t xml:space="preserve">;</w:t>
      </w:r>
      <w:r/>
    </w:p>
    <w:p>
      <w:pPr>
        <w:pStyle w:val="647"/>
        <w:ind w:left="0" w:right="0" w:firstLine="426"/>
        <w:jc w:val="both"/>
        <w:widowControl w:val="off"/>
      </w:pPr>
      <w:r>
        <w:rPr>
          <w:sz w:val="24"/>
          <w:szCs w:val="24"/>
        </w:rPr>
        <w:t xml:space="preserve">- информационные стенды (табло) по предупреждению чрезвычайных ситуаций в здании и на территории «» - </w:t>
      </w:r>
      <w:r>
        <w:rPr>
          <w:sz w:val="24"/>
          <w:szCs w:val="24"/>
          <w:u w:val="single"/>
        </w:rPr>
        <w:t xml:space="preserve">отсутствуют</w:t>
      </w:r>
      <w:r>
        <w:rPr>
          <w:sz w:val="24"/>
          <w:szCs w:val="24"/>
        </w:rPr>
        <w:t xml:space="preserve">, монитор и оборудование для трансляции аудио и видеоинформации – </w:t>
      </w:r>
      <w:r>
        <w:rPr>
          <w:sz w:val="24"/>
          <w:szCs w:val="24"/>
          <w:u w:val="single"/>
        </w:rPr>
        <w:t xml:space="preserve">в наличии</w:t>
      </w:r>
      <w:r>
        <w:rPr>
          <w:sz w:val="24"/>
          <w:szCs w:val="24"/>
        </w:rPr>
        <w:t xml:space="preserve">.</w:t>
      </w:r>
      <w:r/>
    </w:p>
    <w:p>
      <w:pPr>
        <w:pStyle w:val="647"/>
        <w:ind w:left="0" w:right="0" w:firstLine="425"/>
        <w:jc w:val="center"/>
        <w:spacing w:before="120" w:after="0"/>
        <w:widowControl w:val="off"/>
      </w:pPr>
      <w:r>
        <w:rPr>
          <w:b/>
          <w:sz w:val="24"/>
          <w:szCs w:val="24"/>
        </w:rPr>
        <w:t xml:space="preserve">2.2. Организация охраны объекта</w:t>
      </w:r>
      <w:r/>
    </w:p>
    <w:p>
      <w:pPr>
        <w:pStyle w:val="660"/>
        <w:ind w:left="0" w:right="0" w:firstLine="567"/>
        <w:jc w:val="both"/>
        <w:spacing w:before="120" w:after="0"/>
      </w:pPr>
      <w:r>
        <w:rPr>
          <w:rFonts w:ascii="Times New Roman" w:hAnsi="Times New Roman" w:cs="Times New Roman"/>
          <w:sz w:val="24"/>
          <w:szCs w:val="24"/>
        </w:rPr>
        <w:t xml:space="preserve">ТЦ. находится на территории, обслуживаемой Отделом полиции № 3 Управления МВД России по г. Ижевску.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Телефон дежурной части (3412) 698–002. Территория входит в зону обслуживания</w:t>
      </w:r>
      <w:r>
        <w:rPr>
          <w:rFonts w:ascii="Times New Roman" w:hAnsi="Times New Roman" w:cs="Times New Roman"/>
          <w:sz w:val="24"/>
          <w:szCs w:val="24"/>
        </w:rPr>
        <w:t xml:space="preserve"> участкового ОП № 3 УМВД России по г.Ижевску капитана полиции…….</w:t>
      </w:r>
      <w:r/>
    </w:p>
    <w:p>
      <w:pPr>
        <w:pStyle w:val="662"/>
        <w:ind w:left="0" w:right="0" w:firstLine="567"/>
        <w:jc w:val="center"/>
        <w:spacing w:before="200" w:after="0"/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Указываем про ЧОО, и иные организации (№ договора, дата, № лицензии)</w:t>
      </w:r>
      <w:r/>
    </w:p>
    <w:p>
      <w:pPr>
        <w:pStyle w:val="662"/>
        <w:ind w:left="0" w:right="0" w:firstLine="567"/>
        <w:jc w:val="center"/>
        <w:spacing w:before="200" w:after="0"/>
      </w:pPr>
      <w:r>
        <w:rPr>
          <w:rFonts w:ascii="Times New Roman" w:hAnsi="Times New Roman" w:cs="Times New Roman"/>
          <w:b/>
          <w:sz w:val="24"/>
          <w:szCs w:val="24"/>
        </w:rPr>
        <w:t xml:space="preserve">2.3. Пропускной и внутриобъектовый режимы</w:t>
      </w:r>
      <w:r/>
    </w:p>
    <w:p>
      <w:pPr>
        <w:pStyle w:val="662"/>
        <w:ind w:left="0" w:right="0" w:firstLine="567"/>
        <w:jc w:val="both"/>
        <w:spacing w:before="200" w:after="0"/>
      </w:pPr>
      <w:r>
        <w:rPr>
          <w:rFonts w:ascii="Times New Roman" w:hAnsi="Times New Roman" w:cs="Times New Roman"/>
          <w:sz w:val="24"/>
          <w:szCs w:val="24"/>
        </w:rPr>
        <w:t xml:space="preserve">В рабочее время вход в здание ТЦ «!» свободный. Внутриобъектовый контроль осуществляется посредствам видеоконтроля и видеофиксации с камер видеонаблюдения. </w:t>
      </w:r>
      <w:r/>
    </w:p>
    <w:p>
      <w:pPr>
        <w:pStyle w:val="662"/>
        <w:ind w:left="0" w:righ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 окончан</w:t>
      </w:r>
      <w:r>
        <w:rPr>
          <w:rFonts w:ascii="Times New Roman" w:hAnsi="Times New Roman" w:cs="Times New Roman"/>
          <w:sz w:val="24"/>
          <w:szCs w:val="24"/>
        </w:rPr>
        <w:t xml:space="preserve">ии работы отделов торговли и администрации. ТЦ «!» с 19.00ч. до 10.00ч. входы на 2 этаж здания блокируются металлическими рольставнями, запасной проход справой стороны здания  закрывается противопожарной дверью, помещения 2 этажа сдаются под охрану на ПЦН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ООО Охранное предприятие «».</w:t>
      </w:r>
      <w:r/>
    </w:p>
    <w:p>
      <w:pPr>
        <w:pStyle w:val="662"/>
        <w:ind w:left="0" w:righ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 окончании работы торговых отделов 1 этажа с 23.00ч. до 08.00ч. входы в здание закрываются и сдаются под охрану на ПЦН охранных организаций:  </w:t>
      </w:r>
      <w:r/>
    </w:p>
    <w:p>
      <w:pPr>
        <w:pStyle w:val="662"/>
        <w:ind w:left="0" w:right="0" w:firstLine="567"/>
        <w:jc w:val="center"/>
        <w:spacing w:before="120" w:after="0"/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 xml:space="preserve">2.4. </w:t>
      </w:r>
      <w:r>
        <w:rPr>
          <w:rFonts w:ascii="Times New Roman" w:hAnsi="Times New Roman" w:cs="Times New Roman"/>
          <w:b/>
          <w:sz w:val="24"/>
          <w:szCs w:val="24"/>
        </w:rPr>
        <w:t xml:space="preserve">Оборудование инженерно-техническими средствами охраны</w:t>
      </w:r>
      <w:r/>
    </w:p>
    <w:p>
      <w:pPr>
        <w:pStyle w:val="647"/>
        <w:ind w:left="0" w:right="0" w:firstLine="567"/>
        <w:jc w:val="both"/>
        <w:spacing w:before="120" w:after="0"/>
        <w:widowControl w:val="off"/>
      </w:pPr>
      <w:r>
        <w:rPr>
          <w:sz w:val="24"/>
          <w:szCs w:val="24"/>
        </w:rPr>
        <w:t xml:space="preserve">ТЦ оборудован охранной, охранно-пожарной сигнализацией. Обслуживание осуществляется ООО ОП «Щит». </w:t>
      </w:r>
      <w:r>
        <w:rPr>
          <w:sz w:val="24"/>
          <w:szCs w:val="24"/>
          <w:u w:val="single"/>
        </w:rPr>
        <w:t xml:space="preserve">Системы находятся в исправном состоянии.</w:t>
      </w:r>
      <w:r/>
    </w:p>
    <w:p>
      <w:pPr>
        <w:pStyle w:val="660"/>
        <w:ind w:left="0" w:right="0" w:firstLine="567"/>
        <w:jc w:val="both"/>
      </w:pPr>
      <w:r>
        <w:rPr>
          <w:rFonts w:ascii="Times New Roman" w:hAnsi="Times New Roman" w:eastAsia="TimesNewRomanPSMT" w:cs="Times New Roman"/>
          <w:sz w:val="24"/>
          <w:szCs w:val="24"/>
        </w:rPr>
        <w:t xml:space="preserve">В здании ТЦ оборудована система оповещения и управления эвакуацией (СОУЭ): 2</w:t>
      </w:r>
      <w:r>
        <w:rPr>
          <w:rFonts w:ascii="Times New Roman" w:hAnsi="Times New Roman" w:eastAsia="TimesNewRomanPSMT" w:cs="Times New Roman"/>
          <w:bCs/>
          <w:sz w:val="24"/>
          <w:szCs w:val="24"/>
        </w:rPr>
        <w:t xml:space="preserve">-й тип</w:t>
      </w:r>
      <w:r>
        <w:rPr>
          <w:rFonts w:ascii="Times New Roman" w:hAnsi="Times New Roman" w:eastAsia="TimesNewRomanPSMT" w:cs="Times New Roman"/>
          <w:sz w:val="24"/>
          <w:szCs w:val="24"/>
        </w:rPr>
        <w:t xml:space="preserve"> </w:t>
      </w:r>
      <w:r>
        <w:rPr>
          <w:rFonts w:ascii="Times New Roman" w:hAnsi="Times New Roman" w:eastAsia="TimesNewRomanPSMT" w:cs="Times New Roman"/>
          <w:bCs/>
          <w:sz w:val="24"/>
          <w:szCs w:val="24"/>
        </w:rPr>
        <w:t xml:space="preserve">оповещения в помещениях здания литеры Д и 3-й тип оповещения в</w:t>
      </w:r>
      <w:r>
        <w:rPr>
          <w:rFonts w:ascii="Times New Roman" w:hAnsi="Times New Roman" w:eastAsia="TimesNewRomanPSMT" w:cs="Times New Roman"/>
          <w:sz w:val="24"/>
          <w:szCs w:val="24"/>
        </w:rPr>
        <w:t xml:space="preserve"> </w:t>
      </w:r>
      <w:r>
        <w:rPr>
          <w:rFonts w:ascii="Times New Roman" w:hAnsi="Times New Roman" w:eastAsia="TimesNewRomanPSMT" w:cs="Times New Roman"/>
          <w:bCs/>
          <w:sz w:val="24"/>
          <w:szCs w:val="24"/>
        </w:rPr>
        <w:t xml:space="preserve">помещениях здания литеры Б. </w:t>
      </w:r>
      <w:r>
        <w:rPr>
          <w:rFonts w:ascii="Times New Roman" w:hAnsi="Times New Roman" w:eastAsia="TimesNewRomanPSMT" w:cs="Times New Roman"/>
          <w:sz w:val="24"/>
          <w:szCs w:val="24"/>
        </w:rPr>
        <w:t xml:space="preserve">Звуковые сигналы СОУЭ обеспечивают информирование на обоих этажах здания. </w:t>
      </w:r>
      <w:r>
        <w:rPr>
          <w:rFonts w:ascii="Times New Roman" w:hAnsi="Times New Roman" w:cs="Times New Roman"/>
          <w:bCs/>
          <w:sz w:val="24"/>
          <w:szCs w:val="24"/>
        </w:rPr>
        <w:t xml:space="preserve">Сигнал о пожаре передается в дежурную часть ООО ОП «Щит», ведущим круглосуточное дежурство.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Система находится в исправном состоянии.</w:t>
      </w:r>
      <w:r/>
    </w:p>
    <w:p>
      <w:pPr>
        <w:pStyle w:val="647"/>
        <w:ind w:left="0" w:right="0" w:firstLine="567"/>
        <w:jc w:val="both"/>
        <w:widowControl w:val="off"/>
      </w:pPr>
      <w:r>
        <w:rPr>
          <w:sz w:val="24"/>
          <w:szCs w:val="24"/>
        </w:rPr>
        <w:t xml:space="preserve">Здание» ТЦ  оборудовано первичными средствами пожаротушения. </w:t>
      </w:r>
      <w:r>
        <w:rPr>
          <w:color w:val="000000"/>
          <w:sz w:val="24"/>
          <w:szCs w:val="24"/>
        </w:rPr>
        <w:t xml:space="preserve">Всего на 1 этаже установлено 6 огнетушителей ОП 4, на 2 этаже установлено 5 огнетушителя ОП 4. В</w:t>
      </w:r>
      <w:r>
        <w:rPr>
          <w:sz w:val="24"/>
          <w:szCs w:val="24"/>
        </w:rPr>
        <w:t xml:space="preserve"> помещениях газовой котельной, электрощитовой, вентиляционной установлено по 1 огнетушителю ОП 4. размещен пожарный щит, оснащенный топором, ведром, ломом, огнетушителем, ящиком с песком. </w:t>
      </w:r>
      <w:r>
        <w:rPr>
          <w:sz w:val="24"/>
          <w:szCs w:val="24"/>
          <w:u w:val="single"/>
        </w:rPr>
        <w:t xml:space="preserve">Первичные средства пожаротушения в исправном состоянии.</w:t>
      </w:r>
      <w:r/>
    </w:p>
    <w:p>
      <w:pPr>
        <w:pStyle w:val="647"/>
        <w:ind w:left="0" w:right="0" w:firstLine="567"/>
        <w:jc w:val="both"/>
        <w:widowControl w:val="off"/>
      </w:pPr>
      <w:r>
        <w:rPr>
          <w:rFonts w:eastAsia="TimesNewRomanPSMT"/>
          <w:sz w:val="24"/>
          <w:szCs w:val="24"/>
        </w:rPr>
        <w:t xml:space="preserve">В здании </w:t>
      </w:r>
      <w:r>
        <w:rPr>
          <w:sz w:val="24"/>
          <w:szCs w:val="24"/>
        </w:rPr>
        <w:t xml:space="preserve">ТЦ </w:t>
      </w:r>
      <w:r>
        <w:rPr>
          <w:rFonts w:eastAsia="TimesNewRomanPSMT"/>
          <w:sz w:val="24"/>
          <w:szCs w:val="24"/>
        </w:rPr>
        <w:t xml:space="preserve">обеспечено наружное пожаротушение, оборудован пожарный гидрант на расстоянии 29 м на противоположной стороне улицы Удмуртская напротив ТЦ «!</w:t>
      </w:r>
      <w:r>
        <w:rPr>
          <w:sz w:val="24"/>
          <w:szCs w:val="24"/>
        </w:rPr>
        <w:t xml:space="preserve">»</w:t>
      </w:r>
      <w:r>
        <w:rPr>
          <w:rFonts w:eastAsia="TimesNewRomanPSMT"/>
          <w:sz w:val="24"/>
          <w:szCs w:val="24"/>
        </w:rPr>
        <w:t xml:space="preserve">. </w:t>
      </w:r>
      <w:r>
        <w:rPr>
          <w:rFonts w:eastAsia="TimesNewRomanPSMT"/>
          <w:sz w:val="24"/>
          <w:szCs w:val="24"/>
          <w:u w:val="single"/>
        </w:rPr>
        <w:t xml:space="preserve">В исправном состоянии.</w:t>
      </w:r>
      <w:r/>
    </w:p>
    <w:p>
      <w:pPr>
        <w:pStyle w:val="647"/>
        <w:ind w:left="0" w:right="0" w:firstLine="567"/>
        <w:jc w:val="both"/>
        <w:widowControl w:val="off"/>
      </w:pPr>
      <w:r>
        <w:rPr>
          <w:rFonts w:eastAsia="TimesNewRomanPSMT"/>
          <w:sz w:val="24"/>
          <w:szCs w:val="24"/>
        </w:rPr>
        <w:t xml:space="preserve">В здании </w:t>
      </w:r>
      <w:r>
        <w:rPr>
          <w:sz w:val="24"/>
          <w:szCs w:val="24"/>
        </w:rPr>
        <w:t xml:space="preserve">ТЦ </w:t>
      </w:r>
      <w:r>
        <w:rPr>
          <w:rFonts w:eastAsia="TimesNewRomanPSMT"/>
          <w:sz w:val="24"/>
          <w:szCs w:val="24"/>
        </w:rPr>
        <w:t xml:space="preserve">смонтирована система противодымной вентиляции на каждом этаже. Установка ВДУ1 – для удаления продуктов горения при пожаре из коридоров при помощи вентилятора с производительностью 12305 м</w:t>
      </w:r>
      <w:r>
        <w:rPr>
          <w:rFonts w:eastAsia="TimesNewRomanPSMT"/>
          <w:sz w:val="24"/>
          <w:szCs w:val="24"/>
          <w:vertAlign w:val="superscript"/>
        </w:rPr>
        <w:t xml:space="preserve">3</w:t>
      </w:r>
      <w:r>
        <w:rPr>
          <w:rFonts w:eastAsia="TimesNewRomanPSMT"/>
          <w:sz w:val="24"/>
          <w:szCs w:val="24"/>
        </w:rPr>
        <w:t xml:space="preserve">/час., который установлен на ве</w:t>
      </w:r>
      <w:r>
        <w:rPr>
          <w:rFonts w:eastAsia="TimesNewRomanPSMT"/>
          <w:sz w:val="24"/>
          <w:szCs w:val="24"/>
        </w:rPr>
        <w:t xml:space="preserve">рхнем техническом этаже. Выброс удаляемых газов осуществляется выше кровли на 2м, с установкой в коридоре дымоприемных устройств, присоединяющихся к дымовой шахте через нормально закрытый противопожарный клапан с 1-го по 3-й технический этаж включительно. </w:t>
      </w:r>
      <w:r>
        <w:rPr>
          <w:rFonts w:eastAsia="TimesNewRomanPSMT"/>
          <w:sz w:val="24"/>
          <w:szCs w:val="24"/>
          <w:u w:val="single"/>
        </w:rPr>
        <w:t xml:space="preserve">Система дымоудаления в исправном состоянии.</w:t>
      </w:r>
      <w:r/>
    </w:p>
    <w:p>
      <w:pPr>
        <w:pStyle w:val="647"/>
        <w:jc w:val="center"/>
        <w:spacing w:before="120" w:after="0"/>
      </w:pPr>
      <w:r>
        <w:rPr>
          <w:b/>
          <w:bCs/>
          <w:sz w:val="24"/>
          <w:szCs w:val="24"/>
        </w:rPr>
        <w:t xml:space="preserve">2.5. Финансирование мероприятий по укреплению антитеррористической и пожарной безопасности объекта.</w:t>
      </w:r>
      <w:r/>
    </w:p>
    <w:p>
      <w:pPr>
        <w:pStyle w:val="647"/>
        <w:ind w:left="0" w:right="0" w:firstLine="709"/>
        <w:jc w:val="both"/>
        <w:spacing w:before="120" w:after="0"/>
      </w:pPr>
      <w:r>
        <w:rPr>
          <w:sz w:val="24"/>
          <w:szCs w:val="24"/>
        </w:rPr>
        <w:t xml:space="preserve">Финансирование мероприятий по обеспечению антитеррористической и пожарной безопасности ТЦ «!» осуществляется за счет бюджета ТЦ.</w:t>
      </w:r>
      <w:r/>
    </w:p>
    <w:p>
      <w:pPr>
        <w:pStyle w:val="647"/>
        <w:ind w:left="0" w:right="0" w:firstLine="709"/>
        <w:jc w:val="both"/>
      </w:pPr>
      <w:r>
        <w:rPr>
          <w:sz w:val="24"/>
          <w:szCs w:val="24"/>
        </w:rPr>
        <w:t xml:space="preserve">В целях качественной работы охранной, охранно-пожарной систем безопасности работы иных систем и оборудования, установленного в ТЦ. «!» заключены договоры:</w:t>
      </w:r>
      <w:r/>
    </w:p>
    <w:p>
      <w:pPr>
        <w:pStyle w:val="647"/>
        <w:ind w:left="0" w:right="0" w:firstLine="709"/>
        <w:jc w:val="both"/>
      </w:pPr>
      <w:r>
        <w:rPr>
          <w:sz w:val="24"/>
          <w:szCs w:val="24"/>
        </w:rPr>
        <w:t xml:space="preserve">с ООО Охранное предприятие «Щит» - на техническое обслуживание ОС, ОПС, КТС и иного оборудовани;</w:t>
      </w:r>
      <w:r/>
    </w:p>
    <w:p>
      <w:pPr>
        <w:pStyle w:val="647"/>
        <w:ind w:left="0" w:right="0" w:firstLine="709"/>
        <w:jc w:val="both"/>
      </w:pPr>
      <w:r>
        <w:rPr>
          <w:rFonts w:eastAsia="Calibri"/>
          <w:bCs/>
          <w:color w:val="000000"/>
          <w:sz w:val="24"/>
          <w:szCs w:val="24"/>
        </w:rPr>
        <w:t xml:space="preserve">с ООО «ЭнергоТех»</w:t>
      </w:r>
      <w:r>
        <w:rPr>
          <w:rFonts w:eastAsia="Calibri"/>
          <w:color w:val="000000"/>
          <w:sz w:val="24"/>
          <w:szCs w:val="24"/>
        </w:rPr>
        <w:t xml:space="preserve">  - на </w:t>
      </w:r>
      <w:r>
        <w:rPr>
          <w:sz w:val="24"/>
          <w:szCs w:val="24"/>
        </w:rPr>
        <w:t xml:space="preserve">техническое обслуживание газовой котельной, газового трубопровода, системы отопления;</w:t>
      </w:r>
      <w:r/>
    </w:p>
    <w:p>
      <w:pPr>
        <w:pStyle w:val="647"/>
        <w:ind w:left="0" w:right="0" w:firstLine="709"/>
        <w:jc w:val="both"/>
      </w:pPr>
      <w:r>
        <w:rPr>
          <w:color w:val="000000"/>
          <w:sz w:val="24"/>
          <w:szCs w:val="24"/>
        </w:rPr>
        <w:t xml:space="preserve">с ООО «Металл и К» - на техническое обслуживание системы вентиляции и дымоудаления. Итд.</w:t>
      </w:r>
      <w:r/>
    </w:p>
    <w:p>
      <w:pPr>
        <w:pStyle w:val="647"/>
        <w:ind w:left="0" w:right="0" w:firstLine="709"/>
        <w:jc w:val="both"/>
      </w:pPr>
      <w:r>
        <w:rPr>
          <w:color w:val="000000"/>
          <w:sz w:val="24"/>
          <w:szCs w:val="24"/>
        </w:rPr>
        <w:t xml:space="preserve">Кроме того, заключены иные разовые договоры по обслуживанию установленного оборудования и проведения текущих ремонтов помещений здания ТЦ «!».</w:t>
      </w:r>
      <w:r/>
    </w:p>
    <w:p>
      <w:pPr>
        <w:pStyle w:val="647"/>
        <w:ind w:left="0" w:righ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6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2.6. Сведения о потенциально опасных участках и (или) критических элементах торгового объекта (территории)</w:t>
      </w:r>
      <w:r/>
    </w:p>
    <w:p>
      <w:pPr>
        <w:pStyle w:val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60"/>
        <w:jc w:val="righ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Таблица 1</w:t>
      </w:r>
      <w:r/>
    </w:p>
    <w:p>
      <w:pPr>
        <w:pStyle w:val="6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0"/>
        <w:gridCol w:w="2892"/>
        <w:gridCol w:w="2127"/>
        <w:gridCol w:w="397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0" w:type="dxa"/>
            <w:vAlign w:val="top"/>
            <w:textDirection w:val="lrTb"/>
            <w:noWrap w:val="false"/>
          </w:tcPr>
          <w:p>
            <w:pPr>
              <w:pStyle w:val="662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92" w:type="dxa"/>
            <w:vAlign w:val="top"/>
            <w:textDirection w:val="lrTb"/>
            <w:noWrap w:val="false"/>
          </w:tcPr>
          <w:p>
            <w:pPr>
              <w:pStyle w:val="662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потенциально опасного участка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62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работающих человек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9" w:type="dxa"/>
            <w:vAlign w:val="top"/>
            <w:textDirection w:val="lrTb"/>
            <w:noWrap w:val="false"/>
          </w:tcPr>
          <w:p>
            <w:pPr>
              <w:pStyle w:val="662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 возможной чрезвычайной ситуации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0" w:type="dxa"/>
            <w:vAlign w:val="top"/>
            <w:textDirection w:val="lrTb"/>
            <w:noWrap w:val="false"/>
          </w:tcPr>
          <w:p>
            <w:pPr>
              <w:pStyle w:val="662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92" w:type="dxa"/>
            <w:vAlign w:val="top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9" w:type="dxa"/>
            <w:vAlign w:val="top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0" w:type="dxa"/>
            <w:vAlign w:val="top"/>
            <w:textDirection w:val="lrTb"/>
            <w:noWrap w:val="false"/>
          </w:tcPr>
          <w:p>
            <w:pPr>
              <w:pStyle w:val="662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92" w:type="dxa"/>
            <w:vAlign w:val="top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9" w:type="dxa"/>
            <w:vAlign w:val="top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6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60"/>
        <w:jc w:val="righ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Таблица 2</w:t>
      </w:r>
      <w:r/>
    </w:p>
    <w:p>
      <w:pPr>
        <w:pStyle w:val="6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0"/>
        <w:gridCol w:w="2892"/>
        <w:gridCol w:w="2552"/>
        <w:gridCol w:w="355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0" w:type="dxa"/>
            <w:vAlign w:val="top"/>
            <w:textDirection w:val="lrTb"/>
            <w:noWrap w:val="false"/>
          </w:tcPr>
          <w:p>
            <w:pPr>
              <w:pStyle w:val="662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92" w:type="dxa"/>
            <w:vAlign w:val="top"/>
            <w:textDirection w:val="lrTb"/>
            <w:noWrap w:val="false"/>
          </w:tcPr>
          <w:p>
            <w:pPr>
              <w:pStyle w:val="662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критического элемента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62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работающих человек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vAlign w:val="top"/>
            <w:textDirection w:val="lrTb"/>
            <w:noWrap w:val="false"/>
          </w:tcPr>
          <w:p>
            <w:pPr>
              <w:pStyle w:val="662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 возможной чрезвычайной ситуации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0" w:type="dxa"/>
            <w:vAlign w:val="top"/>
            <w:textDirection w:val="lrTb"/>
            <w:noWrap w:val="false"/>
          </w:tcPr>
          <w:p>
            <w:pPr>
              <w:pStyle w:val="662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92" w:type="dxa"/>
            <w:vAlign w:val="top"/>
            <w:textDirection w:val="lrTb"/>
            <w:noWrap w:val="false"/>
          </w:tcPr>
          <w:p>
            <w:pPr>
              <w:pStyle w:val="662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Газовая котельная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62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обслуживании 2 раза в месяц - 2 человека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vAlign w:val="top"/>
            <w:textDirection w:val="lrTb"/>
            <w:noWrap w:val="false"/>
          </w:tcPr>
          <w:p>
            <w:pPr>
              <w:pStyle w:val="662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Врыв газового котла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0" w:type="dxa"/>
            <w:vAlign w:val="top"/>
            <w:textDirection w:val="lrTb"/>
            <w:noWrap w:val="false"/>
          </w:tcPr>
          <w:p>
            <w:pPr>
              <w:pStyle w:val="662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92" w:type="dxa"/>
            <w:vAlign w:val="top"/>
            <w:textDirection w:val="lrTb"/>
            <w:noWrap w:val="false"/>
          </w:tcPr>
          <w:p>
            <w:pPr>
              <w:pStyle w:val="662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Серверная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vAlign w:val="top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0" w:type="dxa"/>
            <w:vAlign w:val="top"/>
            <w:textDirection w:val="lrTb"/>
            <w:noWrap w:val="false"/>
          </w:tcPr>
          <w:p>
            <w:pPr>
              <w:pStyle w:val="662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92" w:type="dxa"/>
            <w:vAlign w:val="top"/>
            <w:textDirection w:val="lrTb"/>
            <w:noWrap w:val="false"/>
          </w:tcPr>
          <w:p>
            <w:pPr>
              <w:pStyle w:val="662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Водоснабжение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vAlign w:val="top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0" w:type="dxa"/>
            <w:vAlign w:val="top"/>
            <w:textDirection w:val="lrTb"/>
            <w:noWrap w:val="false"/>
          </w:tcPr>
          <w:p>
            <w:pPr>
              <w:pStyle w:val="662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92" w:type="dxa"/>
            <w:vAlign w:val="top"/>
            <w:textDirection w:val="lrTb"/>
            <w:noWrap w:val="false"/>
          </w:tcPr>
          <w:p>
            <w:pPr>
              <w:pStyle w:val="662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Электрощитовая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vAlign w:val="top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0" w:type="dxa"/>
            <w:vAlign w:val="top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92" w:type="dxa"/>
            <w:vAlign w:val="top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vAlign w:val="top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662"/>
        <w:jc w:val="both"/>
      </w:pPr>
      <w:r/>
      <w:r/>
    </w:p>
    <w:p>
      <w:pPr>
        <w:pStyle w:val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2.8. Оценка социально-экономических последствий террористического акта на</w:t>
      </w:r>
      <w:r/>
    </w:p>
    <w:p>
      <w:pPr>
        <w:pStyle w:val="66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торговом объекте (территории)</w:t>
      </w:r>
      <w:r/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0"/>
        <w:gridCol w:w="2357"/>
        <w:gridCol w:w="2803"/>
        <w:gridCol w:w="383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0" w:type="dxa"/>
            <w:vAlign w:val="top"/>
            <w:textDirection w:val="lrTb"/>
            <w:noWrap w:val="false"/>
          </w:tcPr>
          <w:p>
            <w:pPr>
              <w:pStyle w:val="662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57" w:type="dxa"/>
            <w:vAlign w:val="top"/>
            <w:textDirection w:val="lrTb"/>
            <w:noWrap w:val="false"/>
          </w:tcPr>
          <w:p>
            <w:pPr>
              <w:pStyle w:val="662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Террористическая угроза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03" w:type="dxa"/>
            <w:vAlign w:val="top"/>
            <w:textDirection w:val="lrTb"/>
            <w:noWrap w:val="false"/>
          </w:tcPr>
          <w:p>
            <w:pPr>
              <w:pStyle w:val="662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Прогнозируемое количество пострадавших в результате террористического акта (человек)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8" w:type="dxa"/>
            <w:vAlign w:val="top"/>
            <w:textDirection w:val="lrTb"/>
            <w:noWrap w:val="false"/>
          </w:tcPr>
          <w:p>
            <w:pPr>
              <w:pStyle w:val="662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Масштаб последствий террористического акта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0" w:type="dxa"/>
            <w:vAlign w:val="top"/>
            <w:textDirection w:val="lrTb"/>
            <w:noWrap w:val="false"/>
          </w:tcPr>
          <w:p>
            <w:pPr>
              <w:pStyle w:val="66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57" w:type="dxa"/>
            <w:vAlign w:val="top"/>
            <w:textDirection w:val="lrTb"/>
            <w:noWrap w:val="false"/>
          </w:tcPr>
          <w:p>
            <w:pPr>
              <w:pStyle w:val="66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Подрыв входной группы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03" w:type="dxa"/>
            <w:vAlign w:val="top"/>
            <w:textDirection w:val="lrTb"/>
            <w:noWrap w:val="false"/>
          </w:tcPr>
          <w:p>
            <w:pPr>
              <w:pStyle w:val="66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 человек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8" w:type="dxa"/>
            <w:vAlign w:val="top"/>
            <w:textDirection w:val="lrTb"/>
            <w:noWrap w:val="false"/>
          </w:tcPr>
          <w:p>
            <w:pPr>
              <w:pStyle w:val="66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резуль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тате подрыва входной группы произойдет частичное обрушение стен, потолка 2 этажа, кровли. Повредятся инженерные и технические коммуникации: электроснабжение, оборудование ОПС, системы видеонаблюдения, вентиляции, дымоудаления, оборудование ОАО «Вымпелком».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0" w:type="dxa"/>
            <w:vAlign w:val="top"/>
            <w:textDirection w:val="lrTb"/>
            <w:noWrap w:val="false"/>
          </w:tcPr>
          <w:p>
            <w:pPr>
              <w:pStyle w:val="66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57" w:type="dxa"/>
            <w:vAlign w:val="top"/>
            <w:textDirection w:val="lrTb"/>
            <w:noWrap w:val="false"/>
          </w:tcPr>
          <w:p>
            <w:pPr>
              <w:pStyle w:val="66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Захват заложников, взрыв, поджог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03" w:type="dxa"/>
            <w:vAlign w:val="top"/>
            <w:textDirection w:val="lrTb"/>
            <w:noWrap w:val="false"/>
          </w:tcPr>
          <w:p>
            <w:pPr>
              <w:pStyle w:val="66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8" w:type="dxa"/>
            <w:vAlign w:val="top"/>
            <w:textDirection w:val="lrTb"/>
            <w:noWrap w:val="false"/>
          </w:tcPr>
          <w:p>
            <w:pPr>
              <w:pStyle w:val="647"/>
              <w:shd w:val="clear" w:color="auto" w:fill="ffffff"/>
            </w:pPr>
            <w:r>
              <w:rPr>
                <w:sz w:val="24"/>
                <w:szCs w:val="24"/>
              </w:rPr>
              <w:t xml:space="preserve">При захвате в заложники террористами  персонала и посетителей может возникнуть большое число человеческих жертв (погибших при захвате заложников, во время взрыва, при штурме помещений и т.д.).</w:t>
            </w:r>
            <w:r/>
          </w:p>
          <w:p>
            <w:pPr>
              <w:pStyle w:val="647"/>
              <w:shd w:val="clear" w:color="auto" w:fill="ffffff"/>
            </w:pPr>
            <w:r>
              <w:rPr>
                <w:sz w:val="24"/>
                <w:szCs w:val="24"/>
              </w:rPr>
              <w:t xml:space="preserve">При поджоге может возникнуть пожар, вследствие чего  возникнут человеческие жертвы от воздействия токсичных продуктов горения, открытого огня, обрушения конструкций и здания. Также будет причинен существенный материальный ущерб.</w:t>
            </w:r>
            <w:r/>
          </w:p>
          <w:p>
            <w:pPr>
              <w:pStyle w:val="66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подрыве возможно разрушение несущих конструкций здания с образованием завалов. Под завалами могут оказаться персонал и посетители.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0" w:type="dxa"/>
            <w:vAlign w:val="top"/>
            <w:textDirection w:val="lrTb"/>
            <w:noWrap w:val="false"/>
          </w:tcPr>
          <w:p>
            <w:pPr>
              <w:pStyle w:val="66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57" w:type="dxa"/>
            <w:vAlign w:val="top"/>
            <w:textDirection w:val="lrTb"/>
            <w:noWrap w:val="false"/>
          </w:tcPr>
          <w:p>
            <w:pPr>
              <w:pStyle w:val="66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Подрыв газовой котельной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03" w:type="dxa"/>
            <w:vAlign w:val="top"/>
            <w:textDirection w:val="lrTb"/>
            <w:noWrap w:val="false"/>
          </w:tcPr>
          <w:p>
            <w:pPr>
              <w:pStyle w:val="66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 человек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8" w:type="dxa"/>
            <w:vAlign w:val="top"/>
            <w:textDirection w:val="lrTb"/>
            <w:noWrap w:val="false"/>
          </w:tcPr>
          <w:p>
            <w:pPr>
              <w:pStyle w:val="66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подрыва входной группы произойдет частичное обрушение 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н, потолка 2 этажа, кровли. Повредятся инженерные и технические коммуникации: водо-, газо-, электроснабжение, оборудование ОПС, системы видеонаблюдения, вентиляции, дымоудаления. Повредятся товарно-материальные ценности складских помещений и торгового зала</w:t>
            </w:r>
            <w:r/>
          </w:p>
        </w:tc>
      </w:tr>
    </w:tbl>
    <w:p>
      <w:pPr>
        <w:pStyle w:val="647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7"/>
        <w:jc w:val="center"/>
        <w:spacing w:before="120" w:after="120"/>
      </w:pPr>
      <w:r>
        <w:rPr>
          <w:b/>
          <w:bCs/>
          <w:sz w:val="24"/>
          <w:szCs w:val="24"/>
        </w:rPr>
        <w:t xml:space="preserve">3. Предложения (рекомендации) комиссии по обеспечению антитеррористической защищенности объекта</w:t>
      </w:r>
      <w:r/>
    </w:p>
    <w:p>
      <w:pPr>
        <w:pStyle w:val="647"/>
        <w:ind w:left="0" w:right="0" w:firstLine="709"/>
        <w:jc w:val="both"/>
        <w:widowControl w:val="off"/>
      </w:pPr>
      <w:r>
        <w:rPr>
          <w:bCs/>
          <w:sz w:val="24"/>
          <w:szCs w:val="24"/>
        </w:rPr>
        <w:t xml:space="preserve">1. </w:t>
      </w:r>
      <w:r>
        <w:rPr>
          <w:sz w:val="24"/>
          <w:szCs w:val="24"/>
        </w:rPr>
        <w:t xml:space="preserve">Изготовить и согласовать паспорт безопасности объекта.</w:t>
      </w:r>
      <w:r/>
    </w:p>
    <w:p>
      <w:pPr>
        <w:pStyle w:val="655"/>
        <w:ind w:left="0" w:right="0" w:firstLine="709"/>
        <w:jc w:val="both"/>
      </w:pPr>
      <w:r>
        <w:rPr>
          <w:b w:val="0"/>
          <w:bCs w:val="0"/>
        </w:rPr>
        <w:t xml:space="preserve">2. Обновить схему оповещения сотрудников привлекаемых к мероприятиям по предотвращению или устранению последствий внештатных (аварийных) ситуаций. </w:t>
      </w:r>
      <w:r/>
    </w:p>
    <w:p>
      <w:pPr>
        <w:pStyle w:val="655"/>
        <w:ind w:left="0" w:right="0" w:firstLine="709"/>
        <w:jc w:val="both"/>
      </w:pPr>
      <w:r>
        <w:rPr>
          <w:b w:val="0"/>
          <w:bCs w:val="0"/>
        </w:rPr>
        <w:t xml:space="preserve">3. Восстановить работоспособность двух внутренних камер видеонаблюдения, обеспечить техническое обслуживание системы видеонаблюдения.</w:t>
      </w:r>
      <w:r/>
    </w:p>
    <w:p>
      <w:pPr>
        <w:pStyle w:val="655"/>
        <w:ind w:left="0" w:right="0" w:firstLine="709"/>
        <w:jc w:val="both"/>
      </w:pPr>
      <w:r>
        <w:rPr>
          <w:b w:val="0"/>
          <w:bCs w:val="0"/>
        </w:rPr>
        <w:t xml:space="preserve">4. Оборудовать информационный стенд по антитеррористической защите и действиям при чрезвычайных обстоятельствах.</w:t>
      </w:r>
      <w:r/>
    </w:p>
    <w:p>
      <w:pPr>
        <w:pStyle w:val="655"/>
        <w:ind w:left="0" w:right="0" w:firstLine="709"/>
        <w:jc w:val="both"/>
      </w:pPr>
      <w:r>
        <w:rPr>
          <w:b w:val="0"/>
          <w:bCs w:val="0"/>
        </w:rPr>
        <w:t xml:space="preserve">5. Заменить 2 огнетушителя с истекшим сроком годности, в неисправном состоянии.</w:t>
      </w:r>
      <w:r/>
    </w:p>
    <w:p>
      <w:pPr>
        <w:pStyle w:val="647"/>
        <w:ind w:left="0" w:right="0" w:firstLine="709"/>
        <w:jc w:val="both"/>
      </w:pPr>
      <w:r>
        <w:rPr>
          <w:bCs/>
          <w:sz w:val="24"/>
        </w:rPr>
        <w:t xml:space="preserve">6.</w:t>
      </w:r>
      <w:r>
        <w:rPr>
          <w:b/>
          <w:bCs/>
          <w:sz w:val="24"/>
        </w:rPr>
        <w:t xml:space="preserve"> </w:t>
      </w:r>
      <w:r>
        <w:rPr>
          <w:bCs/>
          <w:sz w:val="24"/>
        </w:rPr>
        <w:t xml:space="preserve">Обеспечить проверку и испытание огнетушителей.</w:t>
      </w:r>
      <w:r/>
    </w:p>
    <w:p>
      <w:pPr>
        <w:pStyle w:val="655"/>
        <w:jc w:val="both"/>
        <w:rPr>
          <w:b w:val="0"/>
          <w:bCs w:val="0"/>
          <w:i/>
          <w:sz w:val="24"/>
          <w:szCs w:val="24"/>
        </w:rPr>
      </w:pPr>
      <w:r>
        <w:rPr>
          <w:b w:val="0"/>
          <w:bCs w:val="0"/>
          <w:i/>
          <w:sz w:val="24"/>
          <w:szCs w:val="24"/>
        </w:rPr>
      </w:r>
      <w:r>
        <w:rPr>
          <w:b w:val="0"/>
          <w:bCs w:val="0"/>
          <w:i/>
          <w:sz w:val="24"/>
          <w:szCs w:val="24"/>
        </w:rPr>
      </w:r>
    </w:p>
    <w:p>
      <w:pPr>
        <w:pStyle w:val="647"/>
        <w:jc w:val="both"/>
      </w:pPr>
      <w:r>
        <w:rPr>
          <w:b/>
          <w:bCs/>
          <w:sz w:val="24"/>
          <w:szCs w:val="24"/>
        </w:rPr>
        <w:t xml:space="preserve">Выводы комиссии: </w:t>
      </w:r>
      <w:r>
        <w:rPr>
          <w:sz w:val="24"/>
          <w:szCs w:val="24"/>
          <w:u w:val="single"/>
        </w:rPr>
        <w:t xml:space="preserve">Соответствует/не соответствует.</w:t>
      </w:r>
      <w:r>
        <w:rPr>
          <w:sz w:val="24"/>
          <w:szCs w:val="24"/>
        </w:rPr>
        <w:t xml:space="preserve"> (Если не соответствует указать пункт постановления.)</w:t>
      </w:r>
      <w:r/>
    </w:p>
    <w:p>
      <w:pPr>
        <w:pStyle w:val="647"/>
        <w:jc w:val="both"/>
      </w:pPr>
      <w:r>
        <w:rPr>
          <w:b/>
          <w:bCs/>
          <w:sz w:val="24"/>
          <w:szCs w:val="24"/>
        </w:rPr>
        <w:t xml:space="preserve">Присвоена категория: </w:t>
      </w:r>
      <w:r>
        <w:rPr>
          <w:bCs/>
          <w:sz w:val="24"/>
          <w:szCs w:val="24"/>
        </w:rPr>
        <w:t xml:space="preserve">указывается категория с указанием ущерба и количества возможных жертв.</w:t>
      </w:r>
      <w:r/>
    </w:p>
    <w:p>
      <w:pPr>
        <w:pStyle w:val="647"/>
        <w:jc w:val="both"/>
      </w:pPr>
      <w:r>
        <w:rPr>
          <w:b/>
          <w:bCs/>
          <w:sz w:val="24"/>
          <w:szCs w:val="24"/>
        </w:rPr>
        <w:t xml:space="preserve">Особые мнения членов комиссии: </w:t>
      </w:r>
      <w:r>
        <w:rPr>
          <w:b/>
          <w:bCs/>
          <w:sz w:val="24"/>
          <w:szCs w:val="24"/>
          <w:u w:val="single"/>
        </w:rPr>
        <w:tab/>
        <w:tab/>
        <w:tab/>
        <w:tab/>
        <w:tab/>
        <w:tab/>
        <w:tab/>
        <w:tab/>
      </w:r>
      <w:r/>
    </w:p>
    <w:p>
      <w:pPr>
        <w:pStyle w:val="647"/>
        <w:jc w:val="both"/>
      </w:pPr>
      <w:r>
        <w:rPr>
          <w:bCs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/>
    </w:p>
    <w:p>
      <w:pPr>
        <w:pStyle w:val="64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47"/>
      </w:pPr>
      <w:r>
        <w:rPr>
          <w:b/>
          <w:bCs/>
          <w:sz w:val="24"/>
          <w:szCs w:val="24"/>
        </w:rPr>
        <w:t xml:space="preserve">Председатель (руководитель) комиссии </w:t>
        <w:tab/>
        <w:t xml:space="preserve">______________________  Иванов И.И.</w:t>
      </w:r>
      <w:r/>
    </w:p>
    <w:p>
      <w:pPr>
        <w:pStyle w:val="647"/>
      </w:pPr>
      <w:r>
        <w:rPr>
          <w:b/>
          <w:bCs/>
          <w:sz w:val="24"/>
          <w:szCs w:val="24"/>
        </w:rPr>
        <w:t xml:space="preserve">Члены комиссии </w:t>
      </w:r>
      <w:r>
        <w:rPr>
          <w:sz w:val="24"/>
          <w:szCs w:val="24"/>
        </w:rPr>
        <w:t xml:space="preserve">(ф.и.о., должность)</w:t>
      </w:r>
      <w:r>
        <w:rPr>
          <w:b/>
          <w:bCs/>
          <w:sz w:val="24"/>
          <w:szCs w:val="24"/>
        </w:rPr>
        <w:t xml:space="preserve">: </w:t>
      </w:r>
      <w:r/>
    </w:p>
    <w:p>
      <w:pPr>
        <w:pStyle w:val="647"/>
      </w:pPr>
      <w:r>
        <w:rPr>
          <w:sz w:val="24"/>
          <w:szCs w:val="24"/>
        </w:rPr>
        <w:t xml:space="preserve">от </w:t>
      </w:r>
      <w:r>
        <w:rPr>
          <w:bCs/>
          <w:sz w:val="24"/>
          <w:szCs w:val="24"/>
        </w:rPr>
        <w:t xml:space="preserve">Управления ФСБ России по Удмуртской Республике </w:t>
      </w:r>
      <w:r>
        <w:rPr>
          <w:bCs/>
          <w:sz w:val="24"/>
          <w:szCs w:val="24"/>
          <w:u w:val="single"/>
        </w:rPr>
        <w:tab/>
        <w:tab/>
        <w:tab/>
        <w:tab/>
        <w:tab/>
      </w:r>
      <w:r/>
    </w:p>
    <w:p>
      <w:pPr>
        <w:pStyle w:val="647"/>
      </w:pPr>
      <w:r>
        <w:rPr>
          <w:bCs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  <w:r/>
    </w:p>
    <w:p>
      <w:pPr>
        <w:pStyle w:val="647"/>
      </w:pPr>
      <w:r>
        <w:rPr>
          <w:sz w:val="24"/>
          <w:szCs w:val="24"/>
        </w:rPr>
        <w:t xml:space="preserve">от </w:t>
      </w:r>
      <w:r>
        <w:rPr>
          <w:bCs/>
          <w:sz w:val="24"/>
          <w:szCs w:val="24"/>
        </w:rPr>
        <w:t xml:space="preserve">Главного управления МЧС России по Удмуртской Республике </w:t>
      </w:r>
      <w:r>
        <w:rPr>
          <w:bCs/>
          <w:sz w:val="24"/>
          <w:szCs w:val="24"/>
          <w:u w:val="single"/>
        </w:rPr>
        <w:tab/>
        <w:tab/>
        <w:tab/>
        <w:tab/>
      </w:r>
      <w:r/>
    </w:p>
    <w:p>
      <w:pPr>
        <w:pStyle w:val="647"/>
      </w:pPr>
      <w:r>
        <w:rPr>
          <w:bCs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  <w:r/>
    </w:p>
    <w:p>
      <w:pPr>
        <w:pStyle w:val="647"/>
      </w:pPr>
      <w:r>
        <w:rPr>
          <w:bCs/>
          <w:sz w:val="24"/>
          <w:szCs w:val="24"/>
        </w:rPr>
        <w:t xml:space="preserve">от ФГКУ «Управления вневедомственной охраны ВНГ России</w:t>
      </w:r>
      <w:r/>
    </w:p>
    <w:p>
      <w:pPr>
        <w:pStyle w:val="647"/>
      </w:pPr>
      <w:r>
        <w:rPr>
          <w:bCs/>
          <w:sz w:val="24"/>
          <w:szCs w:val="24"/>
        </w:rPr>
        <w:t xml:space="preserve">по Удмуртской Республике» </w:t>
      </w:r>
      <w:r>
        <w:rPr>
          <w:bCs/>
          <w:sz w:val="24"/>
          <w:szCs w:val="24"/>
          <w:u w:val="single"/>
        </w:rPr>
        <w:tab/>
        <w:tab/>
        <w:tab/>
        <w:tab/>
        <w:tab/>
        <w:tab/>
        <w:tab/>
        <w:tab/>
        <w:tab/>
      </w:r>
      <w:r/>
    </w:p>
    <w:p>
      <w:pPr>
        <w:pStyle w:val="647"/>
      </w:pPr>
      <w:r>
        <w:rPr>
          <w:bCs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  <w:r/>
    </w:p>
    <w:p>
      <w:pPr>
        <w:pStyle w:val="647"/>
      </w:pPr>
      <w:r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 xml:space="preserve">Министерства промышленности и торговли Удмуртской Республики</w:t>
      </w:r>
      <w:r>
        <w:rPr>
          <w:bCs/>
          <w:sz w:val="24"/>
          <w:szCs w:val="24"/>
          <w:u w:val="single"/>
        </w:rPr>
        <w:tab/>
        <w:tab/>
        <w:tab/>
      </w:r>
      <w:r/>
    </w:p>
    <w:p>
      <w:pPr>
        <w:pStyle w:val="647"/>
      </w:pPr>
      <w:r>
        <w:rPr>
          <w:bCs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  <w:r/>
    </w:p>
    <w:p>
      <w:pPr>
        <w:pStyle w:val="647"/>
        <w:jc w:val="both"/>
      </w:pPr>
      <w:r>
        <w:rPr>
          <w:bCs/>
          <w:sz w:val="24"/>
          <w:szCs w:val="24"/>
        </w:rPr>
        <w:t xml:space="preserve">от администрации Ленинского района г. Ижевска </w:t>
      </w:r>
      <w:r>
        <w:rPr>
          <w:bCs/>
          <w:sz w:val="24"/>
          <w:szCs w:val="24"/>
          <w:u w:val="single"/>
        </w:rPr>
        <w:tab/>
        <w:tab/>
        <w:tab/>
        <w:tab/>
        <w:tab/>
        <w:tab/>
      </w:r>
      <w:r/>
    </w:p>
    <w:p>
      <w:pPr>
        <w:pStyle w:val="647"/>
        <w:jc w:val="both"/>
      </w:pPr>
      <w:r>
        <w:rPr>
          <w:b/>
          <w:bCs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  <w:r/>
    </w:p>
    <w:p>
      <w:pPr>
        <w:pStyle w:val="64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47"/>
        <w:jc w:val="both"/>
      </w:pPr>
      <w:r>
        <w:rPr>
          <w:b/>
          <w:bCs/>
          <w:sz w:val="24"/>
          <w:szCs w:val="24"/>
        </w:rPr>
        <w:t xml:space="preserve">Ознакомлен, копию акта получил:</w:t>
      </w:r>
      <w:r/>
    </w:p>
    <w:p>
      <w:pPr>
        <w:pStyle w:val="647"/>
        <w:jc w:val="both"/>
      </w:pPr>
      <w:r>
        <w:rPr>
          <w:sz w:val="24"/>
          <w:szCs w:val="24"/>
        </w:rPr>
        <w:t xml:space="preserve">директор ООО «!» </w:t>
        <w:tab/>
        <w:tab/>
        <w:tab/>
        <w:t xml:space="preserve">__________________ Иванов ИИ</w:t>
      </w:r>
      <w:r/>
    </w:p>
    <w:p>
      <w:pPr>
        <w:pStyle w:val="647"/>
        <w:jc w:val="both"/>
      </w:pPr>
      <w:r>
        <w:rPr>
          <w:i/>
          <w:sz w:val="24"/>
          <w:szCs w:val="24"/>
          <w:u w:val="single"/>
        </w:rPr>
        <w:t xml:space="preserve">«       »</w:t>
      </w:r>
      <w:r>
        <w:rPr>
          <w:sz w:val="24"/>
          <w:szCs w:val="24"/>
        </w:rPr>
        <w:t xml:space="preserve">_________________ 201____ г</w:t>
      </w:r>
      <w:r/>
    </w:p>
    <w:p>
      <w:pPr>
        <w:pStyle w:val="647"/>
        <w:jc w:val="both"/>
      </w:pPr>
      <w:r>
        <w:rPr>
          <w:sz w:val="16"/>
          <w:szCs w:val="16"/>
        </w:rPr>
        <w:t xml:space="preserve">(ф.и.о., должность, дата, печать)</w:t>
      </w:r>
      <w:r/>
    </w:p>
    <w:sectPr>
      <w:footerReference w:type="default" r:id="rId9"/>
      <w:footerReference w:type="first" r:id="rId10"/>
      <w:footnotePr>
        <w:numRestart w:val="continuous"/>
      </w:footnotePr>
      <w:endnotePr/>
      <w:type w:val="nextPage"/>
      <w:pgSz w:w="11906" w:h="16838" w:orient="portrait"/>
      <w:pgMar w:top="993" w:right="850" w:bottom="1702" w:left="1701" w:header="709" w:footer="708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NewRomanPSMT">
    <w:panose1 w:val="02020603050405020304"/>
  </w:font>
  <w:font w:name="Droid Sans Devanagari">
    <w:panose1 w:val="020B060603080402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4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6</w:t>
    </w:r>
    <w:r>
      <w:fldChar w:fldCharType="end"/>
    </w:r>
    <w:r/>
  </w:p>
  <w:p>
    <w:pPr>
      <w:pStyle w:val="66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6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7"/>
    <w:next w:val="64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7"/>
    <w:next w:val="64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7"/>
    <w:next w:val="64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7"/>
    <w:next w:val="64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7"/>
    <w:next w:val="64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7"/>
    <w:next w:val="64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7"/>
    <w:next w:val="64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7"/>
    <w:next w:val="64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7"/>
    <w:next w:val="64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7"/>
    <w:next w:val="64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7"/>
    <w:next w:val="64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7"/>
    <w:next w:val="64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7"/>
    <w:next w:val="64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7"/>
    <w:next w:val="64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7"/>
    <w:next w:val="64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7"/>
    <w:next w:val="64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7"/>
    <w:next w:val="64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7"/>
    <w:next w:val="64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7"/>
    <w:next w:val="64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7"/>
    <w:next w:val="64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7"/>
    <w:next w:val="64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7"/>
    <w:next w:val="64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7"/>
    <w:next w:val="64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7"/>
    <w:next w:val="647"/>
    <w:uiPriority w:val="99"/>
    <w:unhideWhenUsed/>
    <w:pPr>
      <w:spacing w:after="0" w:afterAutospacing="0"/>
    </w:pPr>
  </w:style>
  <w:style w:type="table" w:styleId="64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47" w:default="1">
    <w:name w:val="Normal"/>
    <w:next w:val="647"/>
    <w:link w:val="647"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648">
    <w:name w:val="Заголовок 4"/>
    <w:basedOn w:val="647"/>
    <w:next w:val="647"/>
    <w:link w:val="647"/>
    <w:pPr>
      <w:numPr>
        <w:ilvl w:val="3"/>
        <w:numId w:val="1"/>
      </w:num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/>
    </w:rPr>
  </w:style>
  <w:style w:type="character" w:styleId="649">
    <w:name w:val="Основной шрифт абзаца"/>
    <w:next w:val="649"/>
    <w:link w:val="647"/>
  </w:style>
  <w:style w:type="character" w:styleId="650">
    <w:name w:val="Название Знак"/>
    <w:next w:val="650"/>
    <w:link w:val="647"/>
    <w:rPr>
      <w:rFonts w:ascii="Times New Roman" w:hAnsi="Times New Roman" w:cs="Times New Roman"/>
      <w:b/>
      <w:bCs/>
      <w:sz w:val="24"/>
      <w:szCs w:val="24"/>
      <w:lang w:val="en-US"/>
    </w:rPr>
  </w:style>
  <w:style w:type="character" w:styleId="651">
    <w:name w:val="Текст выноски Знак"/>
    <w:next w:val="651"/>
    <w:link w:val="647"/>
    <w:rPr>
      <w:rFonts w:ascii="Tahoma" w:hAnsi="Tahoma" w:cs="Tahoma"/>
      <w:sz w:val="16"/>
      <w:szCs w:val="16"/>
      <w:lang w:val="en-US"/>
    </w:rPr>
  </w:style>
  <w:style w:type="character" w:styleId="652">
    <w:name w:val="Заголовок 4 Знак"/>
    <w:next w:val="652"/>
    <w:link w:val="647"/>
    <w:rPr>
      <w:rFonts w:ascii="Calibri" w:hAnsi="Calibri" w:eastAsia="Times New Roman" w:cs="Times New Roman"/>
      <w:b/>
      <w:bCs/>
      <w:sz w:val="28"/>
      <w:szCs w:val="28"/>
    </w:rPr>
  </w:style>
  <w:style w:type="character" w:styleId="653">
    <w:name w:val="Верхний колонтитул Знак"/>
    <w:next w:val="653"/>
    <w:link w:val="647"/>
    <w:rPr>
      <w:rFonts w:ascii="Times New Roman" w:hAnsi="Times New Roman" w:cs="Times New Roman"/>
    </w:rPr>
  </w:style>
  <w:style w:type="character" w:styleId="654">
    <w:name w:val="Нижний колонтитул Знак"/>
    <w:next w:val="654"/>
    <w:link w:val="647"/>
    <w:rPr>
      <w:rFonts w:ascii="Times New Roman" w:hAnsi="Times New Roman" w:cs="Times New Roman"/>
    </w:rPr>
  </w:style>
  <w:style w:type="paragraph" w:styleId="655">
    <w:name w:val="Заголовок"/>
    <w:basedOn w:val="647"/>
    <w:next w:val="656"/>
    <w:link w:val="647"/>
    <w:pPr>
      <w:jc w:val="center"/>
    </w:pPr>
    <w:rPr>
      <w:b/>
      <w:bCs/>
      <w:sz w:val="24"/>
      <w:szCs w:val="24"/>
      <w:lang w:val="en-US"/>
    </w:rPr>
  </w:style>
  <w:style w:type="paragraph" w:styleId="656">
    <w:name w:val="Основной текст"/>
    <w:basedOn w:val="647"/>
    <w:next w:val="656"/>
    <w:link w:val="647"/>
    <w:pPr>
      <w:spacing w:before="0" w:after="140" w:line="276" w:lineRule="auto"/>
    </w:pPr>
  </w:style>
  <w:style w:type="paragraph" w:styleId="657">
    <w:name w:val="Список"/>
    <w:basedOn w:val="656"/>
    <w:next w:val="657"/>
    <w:link w:val="647"/>
    <w:rPr>
      <w:rFonts w:cs="Droid Sans Devanagari"/>
    </w:rPr>
  </w:style>
  <w:style w:type="paragraph" w:styleId="658">
    <w:name w:val="Название"/>
    <w:basedOn w:val="647"/>
    <w:next w:val="658"/>
    <w:link w:val="647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659">
    <w:name w:val="Указатель"/>
    <w:basedOn w:val="647"/>
    <w:next w:val="659"/>
    <w:link w:val="647"/>
    <w:pPr>
      <w:suppressLineNumbers/>
    </w:pPr>
    <w:rPr>
      <w:rFonts w:cs="Droid Sans Devanagari"/>
    </w:rPr>
  </w:style>
  <w:style w:type="paragraph" w:styleId="660">
    <w:name w:val="ConsPlusNonformat"/>
    <w:next w:val="660"/>
    <w:link w:val="647"/>
    <w:pPr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661">
    <w:name w:val="Текст выноски"/>
    <w:basedOn w:val="647"/>
    <w:next w:val="661"/>
    <w:link w:val="647"/>
    <w:rPr>
      <w:rFonts w:ascii="Tahoma" w:hAnsi="Tahoma" w:cs="Tahoma"/>
      <w:sz w:val="16"/>
      <w:szCs w:val="16"/>
      <w:lang w:val="en-US"/>
    </w:rPr>
  </w:style>
  <w:style w:type="paragraph" w:styleId="662">
    <w:name w:val="ConsPlusNormal"/>
    <w:next w:val="662"/>
    <w:link w:val="647"/>
    <w:pPr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663">
    <w:name w:val="Верхний колонтитул"/>
    <w:basedOn w:val="647"/>
    <w:next w:val="663"/>
    <w:link w:val="647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664">
    <w:name w:val="Нижний колонтитул"/>
    <w:basedOn w:val="647"/>
    <w:next w:val="664"/>
    <w:link w:val="647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665">
    <w:name w:val="Содержимое таблицы"/>
    <w:basedOn w:val="647"/>
    <w:next w:val="665"/>
    <w:link w:val="647"/>
    <w:pPr>
      <w:suppressLineNumbers/>
    </w:pPr>
  </w:style>
  <w:style w:type="paragraph" w:styleId="666">
    <w:name w:val="Заголовок таблицы"/>
    <w:basedOn w:val="665"/>
    <w:next w:val="666"/>
    <w:link w:val="647"/>
    <w:pPr>
      <w:jc w:val="center"/>
      <w:suppressLineNumbers/>
    </w:pPr>
    <w:rPr>
      <w:b/>
      <w:bCs/>
    </w:rPr>
  </w:style>
  <w:style w:type="character" w:styleId="1731" w:default="1">
    <w:name w:val="Default Paragraph Font"/>
    <w:uiPriority w:val="1"/>
    <w:semiHidden/>
    <w:unhideWhenUsed/>
  </w:style>
  <w:style w:type="numbering" w:styleId="173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fox</dc:creator>
  <cp:lastModifiedBy>varacheva_aa</cp:lastModifiedBy>
  <cp:revision>4</cp:revision>
  <dcterms:created xsi:type="dcterms:W3CDTF">2018-04-10T11:15:00Z</dcterms:created>
  <dcterms:modified xsi:type="dcterms:W3CDTF">2025-07-08T04:51:07Z</dcterms:modified>
</cp:coreProperties>
</file>